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Compatibilidad del uso Turismo campestre en políticas de Restauración y Preservación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Compatibilidad del uso Turismo campestre en políticas de Restauración y Preservación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con políticas de Restauración y Preservación que cuentan con uso compatible de Turismo campestre, para el desarrollo de proyectos turísticos campestres y de naturaleza, de acuerdo al Programa de Ordenamiento Ecológico y Territorial Regional Lagunas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Identificar las zonas compatibles con el desarrollo de proyectos turísticos de baja densidad en entornos forestales y rurales.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turismo ecológico, conservación, cabañas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.gpkg, .kml, .kmz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RL_OET_TCRP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 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</w:t>
            </w:r>
            <w:r w:rsidDel="00000000" w:rsidR="00000000" w:rsidRPr="00000000">
              <w:rPr>
                <w:color w:val="0f1115"/>
                <w:rtl w:val="0"/>
              </w:rPr>
              <w:t xml:space="preserve">634053.062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</w:t>
            </w:r>
            <w:r w:rsidDel="00000000" w:rsidR="00000000" w:rsidRPr="00000000">
              <w:rPr>
                <w:color w:val="0f1115"/>
                <w:rtl w:val="0"/>
              </w:rPr>
              <w:t xml:space="preserve">682304.750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</w:t>
            </w:r>
            <w:r w:rsidDel="00000000" w:rsidR="00000000" w:rsidRPr="00000000">
              <w:rPr>
                <w:color w:val="0f1115"/>
                <w:rtl w:val="0"/>
              </w:rPr>
              <w:t xml:space="preserve">2187834.000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</w:t>
            </w:r>
            <w:r w:rsidDel="00000000" w:rsidR="00000000" w:rsidRPr="00000000">
              <w:rPr>
                <w:color w:val="0f1115"/>
                <w:rtl w:val="0"/>
              </w:rPr>
              <w:t xml:space="preserve">2265491.000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5,827.05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La capa muestra las zonas rurales y de conservación donde es compatible el desarrollo de turismo campestre de bajo impacto, identificadas mediante los criterios de regulación ecológica y vocación territorial.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 de políticas ambientales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Estas áreas se identifican mediante el filtrado de las políticas de preservación, restauración o, en algunos casos, aprovechamiento forestal; el uso compatible turístico o de turismo campestre; así como los criterios que especifican las condiciones bajo las cuales pueden desarrollarse este tipo de proyectos en las capas de las políticas territoriales.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AREA_HA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Área en hectáreas.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3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  <w:t xml:space="preserve">SEMADET (2025). Compatibilidad del uso Turismo campestre en políticas de Restauración y Preservación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(s/d). Programa de Ordenamiento Ecológico y Territorial Regional Lagunas: Compatibilidad del uso Turismo campestre en políticas de Restauración y Preservación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